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F0" w:rsidRDefault="00D85BFA">
      <w:pPr>
        <w:spacing w:after="0"/>
        <w:ind w:left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73F129" wp14:editId="77F77148">
            <wp:simplePos x="0" y="0"/>
            <wp:positionH relativeFrom="margin">
              <wp:posOffset>-123825</wp:posOffset>
            </wp:positionH>
            <wp:positionV relativeFrom="paragraph">
              <wp:posOffset>9525</wp:posOffset>
            </wp:positionV>
            <wp:extent cx="1994535" cy="705485"/>
            <wp:effectExtent l="0" t="0" r="5715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32"/>
        </w:rPr>
        <w:t xml:space="preserve">DOCUMENTOS NECESSÁRIOS - ESCRITURAS </w:t>
      </w:r>
    </w:p>
    <w:p w:rsidR="007068F0" w:rsidRDefault="00D85BFA">
      <w:pPr>
        <w:spacing w:after="236"/>
        <w:ind w:left="1"/>
      </w:pPr>
      <w:r>
        <w:rPr>
          <w:b/>
          <w:sz w:val="32"/>
        </w:rPr>
        <w:t>INSTITUIÇÃO E/OU RENÚNCIA DE USUFRUTO</w:t>
      </w:r>
    </w:p>
    <w:p w:rsidR="00D85BFA" w:rsidRDefault="00D85BFA">
      <w:pPr>
        <w:spacing w:after="30"/>
        <w:ind w:left="1"/>
        <w:jc w:val="right"/>
      </w:pPr>
    </w:p>
    <w:p w:rsidR="007068F0" w:rsidRDefault="00D85BFA">
      <w:pPr>
        <w:spacing w:after="30"/>
        <w:ind w:left="1"/>
        <w:jc w:val="right"/>
      </w:pPr>
      <w:bookmarkStart w:id="0" w:name="_GoBack"/>
      <w:bookmarkEnd w:id="0"/>
      <w:r>
        <w:t xml:space="preserve"> </w:t>
      </w:r>
    </w:p>
    <w:p w:rsidR="007068F0" w:rsidRDefault="00D85BFA">
      <w:pPr>
        <w:spacing w:after="0"/>
      </w:pPr>
      <w:r>
        <w:rPr>
          <w:rFonts w:ascii="Times New Roman" w:eastAsia="Times New Roman" w:hAnsi="Times New Roman" w:cs="Times New Roman"/>
          <w:b/>
          <w:color w:val="212529"/>
          <w:sz w:val="34"/>
        </w:rPr>
        <w:t xml:space="preserve">Documentos Necessários </w:t>
      </w:r>
    </w:p>
    <w:p w:rsidR="007068F0" w:rsidRDefault="00D85BFA">
      <w:pPr>
        <w:spacing w:after="14"/>
        <w:ind w:left="-5" w:hanging="10"/>
      </w:pPr>
      <w:r>
        <w:rPr>
          <w:rFonts w:ascii="Segoe UI" w:eastAsia="Segoe UI" w:hAnsi="Segoe UI" w:cs="Segoe UI"/>
          <w:color w:val="212529"/>
          <w:sz w:val="24"/>
          <w:u w:val="single" w:color="212529"/>
        </w:rPr>
        <w:t>Dos Usufrutuários, Instituidores e/ou Renunciantes</w:t>
      </w:r>
      <w:r>
        <w:rPr>
          <w:rFonts w:ascii="Segoe UI" w:eastAsia="Segoe UI" w:hAnsi="Segoe UI" w:cs="Segoe UI"/>
          <w:color w:val="212529"/>
          <w:sz w:val="24"/>
        </w:rPr>
        <w:t xml:space="preserve">: </w:t>
      </w:r>
    </w:p>
    <w:p w:rsidR="007068F0" w:rsidRDefault="00D85BFA">
      <w:pPr>
        <w:numPr>
          <w:ilvl w:val="0"/>
          <w:numId w:val="1"/>
        </w:numPr>
        <w:spacing w:after="30" w:line="24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>Carteira de Identidade, CPF e indicar a profissão, e-</w:t>
      </w:r>
      <w:r>
        <w:rPr>
          <w:rFonts w:ascii="Segoe UI" w:eastAsia="Segoe UI" w:hAnsi="Segoe UI" w:cs="Segoe UI"/>
          <w:color w:val="212529"/>
          <w:sz w:val="24"/>
        </w:rPr>
        <w:t xml:space="preserve">mail e telefone. Casados indicar nome do cônjuge e CPF. </w:t>
      </w:r>
    </w:p>
    <w:p w:rsidR="007068F0" w:rsidRDefault="00D85BFA">
      <w:pPr>
        <w:numPr>
          <w:ilvl w:val="0"/>
          <w:numId w:val="1"/>
        </w:numPr>
        <w:spacing w:after="30" w:line="24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Certidão do estado civil (certidão de nascimento para solteiros e de casamento para casados, separados, divorciados ou viúvos) expedida pelo Registro Civil a menos de 90 dias.  </w:t>
      </w:r>
    </w:p>
    <w:p w:rsidR="007068F0" w:rsidRDefault="00D85BFA">
      <w:pPr>
        <w:numPr>
          <w:ilvl w:val="0"/>
          <w:numId w:val="1"/>
        </w:numPr>
        <w:spacing w:after="30" w:line="24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>Comprovante de residê</w:t>
      </w:r>
      <w:r>
        <w:rPr>
          <w:rFonts w:ascii="Segoe UI" w:eastAsia="Segoe UI" w:hAnsi="Segoe UI" w:cs="Segoe UI"/>
          <w:color w:val="212529"/>
          <w:sz w:val="24"/>
        </w:rPr>
        <w:t xml:space="preserve">ncia. </w:t>
      </w:r>
    </w:p>
    <w:p w:rsidR="007068F0" w:rsidRDefault="00D85BFA">
      <w:pPr>
        <w:numPr>
          <w:ilvl w:val="0"/>
          <w:numId w:val="1"/>
        </w:numPr>
        <w:spacing w:after="30" w:line="24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Em caso de interveniente anuente apresentar os documentos acima. </w:t>
      </w:r>
    </w:p>
    <w:p w:rsidR="007068F0" w:rsidRDefault="00D85BFA">
      <w:pPr>
        <w:spacing w:after="19"/>
      </w:pPr>
      <w:r>
        <w:rPr>
          <w:rFonts w:ascii="Segoe UI" w:eastAsia="Segoe UI" w:hAnsi="Segoe UI" w:cs="Segoe UI"/>
          <w:color w:val="212529"/>
          <w:sz w:val="20"/>
        </w:rPr>
        <w:t xml:space="preserve"> </w:t>
      </w:r>
    </w:p>
    <w:p w:rsidR="007068F0" w:rsidRDefault="00D85BFA">
      <w:pPr>
        <w:spacing w:after="14"/>
        <w:ind w:left="-5" w:hanging="10"/>
      </w:pPr>
      <w:r>
        <w:rPr>
          <w:rFonts w:ascii="Segoe UI" w:eastAsia="Segoe UI" w:hAnsi="Segoe UI" w:cs="Segoe UI"/>
          <w:color w:val="212529"/>
          <w:sz w:val="24"/>
          <w:u w:val="single" w:color="212529"/>
        </w:rPr>
        <w:t>Do Imóvel</w:t>
      </w:r>
      <w:r>
        <w:rPr>
          <w:rFonts w:ascii="Segoe UI" w:eastAsia="Segoe UI" w:hAnsi="Segoe UI" w:cs="Segoe UI"/>
          <w:color w:val="212529"/>
          <w:sz w:val="24"/>
        </w:rPr>
        <w:t xml:space="preserve">: </w:t>
      </w:r>
    </w:p>
    <w:p w:rsidR="007068F0" w:rsidRDefault="00D85BFA">
      <w:pPr>
        <w:numPr>
          <w:ilvl w:val="0"/>
          <w:numId w:val="2"/>
        </w:numPr>
        <w:spacing w:after="30" w:line="24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Certidão de inteiro teor de Matrícula obtida no Ofício de Registro de Imóveis, expedida a menos de 30 dias.  </w:t>
      </w:r>
    </w:p>
    <w:p w:rsidR="007068F0" w:rsidRDefault="00D85BFA">
      <w:pPr>
        <w:numPr>
          <w:ilvl w:val="0"/>
          <w:numId w:val="2"/>
        </w:numPr>
        <w:spacing w:after="30" w:line="24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>Certidões de ônus e de ações do imóvel, obtidas no Ofício d</w:t>
      </w:r>
      <w:r>
        <w:rPr>
          <w:rFonts w:ascii="Segoe UI" w:eastAsia="Segoe UI" w:hAnsi="Segoe UI" w:cs="Segoe UI"/>
          <w:color w:val="212529"/>
          <w:sz w:val="24"/>
        </w:rPr>
        <w:t xml:space="preserve">e Registro de Imóveis, expedidas a menos de 30 dias.  </w:t>
      </w:r>
    </w:p>
    <w:p w:rsidR="007068F0" w:rsidRDefault="00D85BFA" w:rsidP="00D85BFA">
      <w:pPr>
        <w:numPr>
          <w:ilvl w:val="0"/>
          <w:numId w:val="2"/>
        </w:numPr>
        <w:spacing w:after="30" w:line="24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Se IMÓVEL </w:t>
      </w:r>
      <w:r>
        <w:rPr>
          <w:rFonts w:ascii="Segoe UI" w:eastAsia="Segoe UI" w:hAnsi="Segoe UI" w:cs="Segoe UI"/>
          <w:color w:val="212529"/>
          <w:sz w:val="24"/>
          <w:u w:val="single" w:color="212529"/>
        </w:rPr>
        <w:t>URBANO</w:t>
      </w:r>
      <w:r>
        <w:rPr>
          <w:rFonts w:ascii="Segoe UI" w:eastAsia="Segoe UI" w:hAnsi="Segoe UI" w:cs="Segoe UI"/>
          <w:color w:val="212529"/>
          <w:sz w:val="24"/>
        </w:rPr>
        <w:t>: Carnê de IPTU do ano vigente com pagamento em dia ou o cadastro municipal do imóvel, retirado na Prefeitura no qual conste o valor venal do imóvel</w:t>
      </w:r>
      <w:r>
        <w:rPr>
          <w:rFonts w:ascii="Segoe UI" w:eastAsia="Segoe UI" w:hAnsi="Segoe UI" w:cs="Segoe UI"/>
          <w:color w:val="212529"/>
          <w:sz w:val="24"/>
        </w:rPr>
        <w:t xml:space="preserve"> </w:t>
      </w:r>
    </w:p>
    <w:p w:rsidR="007068F0" w:rsidRDefault="00D85BFA">
      <w:pPr>
        <w:numPr>
          <w:ilvl w:val="0"/>
          <w:numId w:val="2"/>
        </w:numPr>
        <w:spacing w:after="44" w:line="238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>S</w:t>
      </w:r>
      <w:r>
        <w:rPr>
          <w:rFonts w:ascii="Segoe UI" w:eastAsia="Segoe UI" w:hAnsi="Segoe UI" w:cs="Segoe UI"/>
          <w:color w:val="212529"/>
          <w:sz w:val="24"/>
        </w:rPr>
        <w:t xml:space="preserve">e IMÓVEL </w:t>
      </w:r>
      <w:r>
        <w:rPr>
          <w:rFonts w:ascii="Segoe UI" w:eastAsia="Segoe UI" w:hAnsi="Segoe UI" w:cs="Segoe UI"/>
          <w:color w:val="212529"/>
          <w:sz w:val="24"/>
          <w:u w:val="single" w:color="212529"/>
        </w:rPr>
        <w:t>RURAL</w:t>
      </w:r>
      <w:r>
        <w:rPr>
          <w:rFonts w:ascii="Segoe UI" w:eastAsia="Segoe UI" w:hAnsi="Segoe UI" w:cs="Segoe UI"/>
          <w:color w:val="212529"/>
          <w:sz w:val="24"/>
        </w:rPr>
        <w:t xml:space="preserve">: CCIR atual paga, Certidão Negativa de ITR, quando o imóvel for rural, dentro do prazo de validade; CAR – Cadastro Ambiental Rural. </w:t>
      </w:r>
    </w:p>
    <w:p w:rsidR="007068F0" w:rsidRDefault="00D85BFA">
      <w:pPr>
        <w:numPr>
          <w:ilvl w:val="0"/>
          <w:numId w:val="2"/>
        </w:numPr>
        <w:spacing w:after="0" w:line="239" w:lineRule="auto"/>
        <w:ind w:right="827" w:hanging="361"/>
        <w:jc w:val="both"/>
      </w:pPr>
      <w:r>
        <w:rPr>
          <w:rFonts w:ascii="Segoe UI" w:eastAsia="Segoe UI" w:hAnsi="Segoe UI" w:cs="Segoe UI"/>
          <w:color w:val="212529"/>
          <w:sz w:val="24"/>
        </w:rPr>
        <w:t xml:space="preserve">ITCMD </w:t>
      </w:r>
      <w:r>
        <w:rPr>
          <w:rFonts w:ascii="Segoe UI" w:eastAsia="Segoe UI" w:hAnsi="Segoe UI" w:cs="Segoe UI"/>
          <w:color w:val="212529"/>
          <w:sz w:val="24"/>
        </w:rPr>
        <w:t xml:space="preserve">p/ instituição: Imposto Estadual incidente, se for o caso; atualmente no Estado do Pará, não há previsão expressa na Lei </w:t>
      </w:r>
      <w:r>
        <w:rPr>
          <w:rFonts w:ascii="Segoe UI" w:eastAsia="Segoe UI" w:hAnsi="Segoe UI" w:cs="Segoe UI"/>
          <w:sz w:val="24"/>
        </w:rPr>
        <w:t xml:space="preserve">nº 5529 de 05/01/1989, alterada pela Lei nº </w:t>
      </w:r>
      <w:r>
        <w:rPr>
          <w:rFonts w:ascii="Segoe UI" w:eastAsia="Segoe UI" w:hAnsi="Segoe UI" w:cs="Segoe UI"/>
          <w:b/>
          <w:sz w:val="24"/>
        </w:rPr>
        <w:t>8868 de 10/06/2019; e, ainda,</w:t>
      </w:r>
      <w:r>
        <w:rPr>
          <w:rFonts w:ascii="Segoe UI" w:eastAsia="Segoe UI" w:hAnsi="Segoe UI" w:cs="Segoe UI"/>
          <w:sz w:val="24"/>
        </w:rPr>
        <w:t xml:space="preserve"> conforme manifestação/ofício s/nº da CJRMB do TJPA, referente</w:t>
      </w:r>
      <w:r>
        <w:rPr>
          <w:rFonts w:ascii="Segoe UI" w:eastAsia="Segoe UI" w:hAnsi="Segoe UI" w:cs="Segoe UI"/>
          <w:sz w:val="24"/>
        </w:rPr>
        <w:t xml:space="preserve"> a consulta 2017.6.000723.3, feita pelo então oficial interino do 2º RI de Belém/PA</w:t>
      </w:r>
      <w:r>
        <w:rPr>
          <w:rFonts w:ascii="Segoe UI" w:eastAsia="Segoe UI" w:hAnsi="Segoe UI" w:cs="Segoe UI"/>
          <w:color w:val="212529"/>
          <w:sz w:val="24"/>
        </w:rPr>
        <w:t xml:space="preserve">. </w:t>
      </w:r>
    </w:p>
    <w:p w:rsidR="007068F0" w:rsidRDefault="00D85BFA">
      <w:pPr>
        <w:spacing w:after="217"/>
        <w:ind w:left="360"/>
      </w:pPr>
      <w:r>
        <w:rPr>
          <w:b/>
          <w:color w:val="444444"/>
          <w:sz w:val="20"/>
        </w:rPr>
        <w:t xml:space="preserve"> </w:t>
      </w:r>
    </w:p>
    <w:p w:rsidR="007068F0" w:rsidRDefault="00D85BFA">
      <w:pPr>
        <w:spacing w:after="205" w:line="268" w:lineRule="auto"/>
        <w:ind w:left="355" w:right="817" w:hanging="10"/>
        <w:jc w:val="both"/>
      </w:pPr>
      <w:r>
        <w:rPr>
          <w:b/>
          <w:sz w:val="20"/>
        </w:rPr>
        <w:t>* OUTROS DOCUMENTOS SERÃO EXIGIDOS CONFORME A SITUAÇÃO JURÍDICA ENTABULADA; * EM CASO DE IMPOSSIBILIDADE DA APRESENTAÇÃO DE QUAISQUER DOS DOCUMENTOS ORIGINAIS, APRESENT</w:t>
      </w:r>
      <w:r>
        <w:rPr>
          <w:b/>
          <w:sz w:val="20"/>
        </w:rPr>
        <w:t xml:space="preserve">AR CÓPIA AUTENTICADA. </w:t>
      </w:r>
    </w:p>
    <w:p w:rsidR="007068F0" w:rsidRDefault="00D85BFA">
      <w:pPr>
        <w:spacing w:after="6" w:line="268" w:lineRule="auto"/>
        <w:ind w:left="355" w:right="817" w:hanging="10"/>
        <w:jc w:val="both"/>
      </w:pPr>
      <w:r>
        <w:rPr>
          <w:b/>
          <w:sz w:val="20"/>
        </w:rPr>
        <w:t xml:space="preserve">BASE LEGAL – Decreto Federal </w:t>
      </w:r>
      <w:proofErr w:type="gramStart"/>
      <w:r>
        <w:rPr>
          <w:b/>
          <w:sz w:val="20"/>
        </w:rPr>
        <w:t>n.º</w:t>
      </w:r>
      <w:proofErr w:type="gramEnd"/>
      <w:r>
        <w:rPr>
          <w:b/>
          <w:sz w:val="20"/>
        </w:rPr>
        <w:t xml:space="preserve"> 93.240/86; Lei Federal n.º 10.406/02; Provimento n.º 61/2017 do CNJ; Código de Normas dos Serviços Notariais e de Registro do Estado do Pará; Lei Federal n.º </w:t>
      </w:r>
    </w:p>
    <w:p w:rsidR="007068F0" w:rsidRDefault="00D85BFA">
      <w:pPr>
        <w:spacing w:after="221" w:line="268" w:lineRule="auto"/>
        <w:ind w:left="355" w:right="817" w:hanging="10"/>
        <w:jc w:val="both"/>
      </w:pPr>
      <w:r>
        <w:rPr>
          <w:b/>
          <w:sz w:val="20"/>
        </w:rPr>
        <w:t xml:space="preserve">8.935; Provimento </w:t>
      </w:r>
      <w:proofErr w:type="gramStart"/>
      <w:r>
        <w:rPr>
          <w:b/>
          <w:sz w:val="20"/>
        </w:rPr>
        <w:t>n.º</w:t>
      </w:r>
      <w:proofErr w:type="gramEnd"/>
      <w:r>
        <w:rPr>
          <w:b/>
          <w:sz w:val="20"/>
        </w:rPr>
        <w:t xml:space="preserve"> 35/2007 do CNJ. </w:t>
      </w:r>
    </w:p>
    <w:sectPr w:rsidR="007068F0">
      <w:pgSz w:w="11908" w:h="16836"/>
      <w:pgMar w:top="1440" w:right="87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E59"/>
    <w:multiLevelType w:val="hybridMultilevel"/>
    <w:tmpl w:val="4BA8F454"/>
    <w:lvl w:ilvl="0" w:tplc="CF127EB4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C9F2C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8E8D2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E8D64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8460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0DECA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0A4A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ACB0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2917C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B2C97"/>
    <w:multiLevelType w:val="hybridMultilevel"/>
    <w:tmpl w:val="C95449D2"/>
    <w:lvl w:ilvl="0" w:tplc="73060AFA">
      <w:start w:val="1"/>
      <w:numFmt w:val="decimal"/>
      <w:lvlText w:val="%1.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2317A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6487A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CDA94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4EA4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0E58E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CBB3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2EA54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510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F0"/>
    <w:rsid w:val="007068F0"/>
    <w:rsid w:val="00D8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1E92"/>
  <w15:docId w15:val="{F232CF81-4F4B-4514-A018-253F13A4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cp:lastModifiedBy>Nil Fonseca</cp:lastModifiedBy>
  <cp:revision>2</cp:revision>
  <dcterms:created xsi:type="dcterms:W3CDTF">2024-05-09T02:49:00Z</dcterms:created>
  <dcterms:modified xsi:type="dcterms:W3CDTF">2024-05-09T02:49:00Z</dcterms:modified>
</cp:coreProperties>
</file>