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41" w:rsidRDefault="002F2E08">
      <w:pPr>
        <w:spacing w:after="24" w:line="259" w:lineRule="auto"/>
        <w:ind w:left="60" w:firstLine="0"/>
        <w:jc w:val="left"/>
      </w:pPr>
      <w:r>
        <w:rPr>
          <w:rFonts w:ascii="Times New Roman" w:eastAsia="Times New Roman" w:hAnsi="Times New Roman" w:cs="Times New Roman"/>
          <w:b/>
          <w:sz w:val="34"/>
        </w:rPr>
        <w:t xml:space="preserve">Documentos Necessários: </w:t>
      </w:r>
    </w:p>
    <w:p w:rsidR="00E20241" w:rsidRDefault="002F2E08">
      <w:pPr>
        <w:numPr>
          <w:ilvl w:val="0"/>
          <w:numId w:val="1"/>
        </w:numPr>
        <w:ind w:hanging="361"/>
      </w:pPr>
      <w:r>
        <w:t xml:space="preserve">Petição com a qualificação completa do autor da herança, </w:t>
      </w:r>
      <w:r>
        <w:rPr>
          <w:b/>
        </w:rPr>
        <w:t>meeiro(a)</w:t>
      </w:r>
      <w:r>
        <w:t xml:space="preserve"> e </w:t>
      </w:r>
      <w:r>
        <w:rPr>
          <w:b/>
        </w:rPr>
        <w:t>de todos os herdeiros e cônjuges</w:t>
      </w:r>
      <w:r>
        <w:t xml:space="preserve"> (inclusive estado civil, profissões e </w:t>
      </w:r>
      <w:r>
        <w:rPr>
          <w:b/>
        </w:rPr>
        <w:t>endereços, telefone e e-mail</w:t>
      </w:r>
      <w:r>
        <w:t>), dos bens e direitos (descrição e valor de mercado de cada um), da partilha (modo como pretendem partilhar), se houver cessão ou doação (qualificação completa dos donatários e cessionários,</w:t>
      </w:r>
      <w:r>
        <w:rPr>
          <w:b/>
        </w:rPr>
        <w:t xml:space="preserve"> de seus cônjuges</w:t>
      </w:r>
      <w:r>
        <w:t xml:space="preserve">, </w:t>
      </w:r>
      <w:r>
        <w:rPr>
          <w:b/>
        </w:rPr>
        <w:t>inclusive estado civil, profissões e</w:t>
      </w:r>
      <w:r>
        <w:t xml:space="preserve"> </w:t>
      </w:r>
      <w:r>
        <w:rPr>
          <w:b/>
        </w:rPr>
        <w:t>endereços</w:t>
      </w:r>
      <w:r>
        <w:rPr>
          <w:b/>
        </w:rPr>
        <w:t>, telefone e e-mail</w:t>
      </w:r>
      <w:r>
        <w:t xml:space="preserve">), assinada pelo advogado, indicando a qualificação completa, o telefone e e-mail deste. </w:t>
      </w:r>
    </w:p>
    <w:p w:rsidR="00E20241" w:rsidRDefault="002F2E08">
      <w:pPr>
        <w:numPr>
          <w:ilvl w:val="0"/>
          <w:numId w:val="1"/>
        </w:numPr>
        <w:ind w:hanging="361"/>
      </w:pPr>
      <w:r>
        <w:t>Certidão de óbito do autor da herança (original)</w:t>
      </w:r>
      <w:r>
        <w:rPr>
          <w:i/>
        </w:rPr>
        <w:t>.</w:t>
      </w:r>
      <w:r>
        <w:t xml:space="preserve"> </w:t>
      </w:r>
    </w:p>
    <w:p w:rsidR="00E20241" w:rsidRDefault="002F2E08">
      <w:pPr>
        <w:numPr>
          <w:ilvl w:val="0"/>
          <w:numId w:val="1"/>
        </w:numPr>
        <w:ind w:hanging="361"/>
      </w:pPr>
      <w:r>
        <w:t>Documento de identidade oficial (RG ou CNH) e CPF das partes e do autor da herança (cópias auten</w:t>
      </w:r>
      <w:r>
        <w:t xml:space="preserve">ticadas ou cópia simples acompanhada dos originais) e comprovantes de residência de todos (cópia simples). </w:t>
      </w:r>
    </w:p>
    <w:p w:rsidR="00E20241" w:rsidRDefault="002F2E08">
      <w:pPr>
        <w:numPr>
          <w:ilvl w:val="0"/>
          <w:numId w:val="1"/>
        </w:numPr>
        <w:spacing w:after="129"/>
        <w:ind w:hanging="361"/>
      </w:pPr>
      <w:r>
        <w:rPr>
          <w:color w:val="000000"/>
        </w:rPr>
        <w:t>Certidão de estado civil do autor da herança (expedida já com a averbação do óbito) e dos herdeiros (certidão de casamento para casados e de nascime</w:t>
      </w:r>
      <w:r>
        <w:rPr>
          <w:color w:val="000000"/>
        </w:rPr>
        <w:t xml:space="preserve">nto para solteiros) e pacto antenupcial, se houver devidamente registrado (originais ou cópias autenticadas, expedidos a menos de 90 dias).  </w:t>
      </w:r>
      <w:r>
        <w:t xml:space="preserve"> </w:t>
      </w:r>
    </w:p>
    <w:p w:rsidR="00E20241" w:rsidRDefault="002F2E08">
      <w:pPr>
        <w:numPr>
          <w:ilvl w:val="0"/>
          <w:numId w:val="1"/>
        </w:numPr>
        <w:spacing w:after="129"/>
        <w:ind w:hanging="361"/>
      </w:pPr>
      <w:r>
        <w:rPr>
          <w:color w:val="000000"/>
        </w:rPr>
        <w:t xml:space="preserve">Casados com pacto: Apresentar certidão da escritura pública do pacto antenupcial </w:t>
      </w:r>
      <w:r>
        <w:rPr>
          <w:i/>
          <w:color w:val="000000"/>
        </w:rPr>
        <w:t>(obtida junto ao Tabelionato que</w:t>
      </w:r>
      <w:r>
        <w:rPr>
          <w:i/>
          <w:color w:val="000000"/>
        </w:rPr>
        <w:t xml:space="preserve"> lavrou a escritura pública)</w:t>
      </w:r>
      <w:r>
        <w:rPr>
          <w:color w:val="000000"/>
        </w:rPr>
        <w:t>, e certidão de registro do pacto antenupcial no Ofício de Registro de Imóveis em que foi registrado o respectivo pacto.</w:t>
      </w:r>
      <w:r>
        <w:t xml:space="preserve"> </w:t>
      </w:r>
    </w:p>
    <w:p w:rsidR="00E20241" w:rsidRDefault="002F2E08">
      <w:pPr>
        <w:numPr>
          <w:ilvl w:val="0"/>
          <w:numId w:val="1"/>
        </w:numPr>
        <w:ind w:hanging="361"/>
      </w:pPr>
      <w:r>
        <w:t xml:space="preserve">Certidão negativa municipal (setor de ISS), Certidão negativa Estadual e Federal todas em nome e CPF </w:t>
      </w:r>
      <w:proofErr w:type="gramStart"/>
      <w:r>
        <w:t>do(</w:t>
      </w:r>
      <w:proofErr w:type="gramEnd"/>
      <w:r>
        <w:t>a)</w:t>
      </w:r>
      <w:r>
        <w:t xml:space="preserve"> falecido(a) </w:t>
      </w:r>
      <w:r>
        <w:t>–</w:t>
      </w:r>
      <w:r>
        <w:t xml:space="preserve"> local do domicílio e dos imóveis.  </w:t>
      </w:r>
    </w:p>
    <w:p w:rsidR="00E20241" w:rsidRDefault="002F2E08">
      <w:pPr>
        <w:numPr>
          <w:ilvl w:val="0"/>
          <w:numId w:val="1"/>
        </w:numPr>
        <w:spacing w:after="129"/>
        <w:ind w:hanging="361"/>
      </w:pPr>
      <w:r>
        <w:rPr>
          <w:color w:val="000000"/>
        </w:rPr>
        <w:t>Certidões de feitos ajuizados da Justiça Comum (Cartório do Distribuidor: cíveis em geral) em nome e CPF do falecido, do domicílio de residência do mesmo e do local dos imóveis. (</w:t>
      </w:r>
      <w:proofErr w:type="gramStart"/>
      <w:r>
        <w:rPr>
          <w:color w:val="000000"/>
        </w:rPr>
        <w:t>recomendado</w:t>
      </w:r>
      <w:proofErr w:type="gramEnd"/>
      <w:r>
        <w:rPr>
          <w:color w:val="000000"/>
        </w:rPr>
        <w:t>)</w:t>
      </w:r>
      <w:r>
        <w:t xml:space="preserve"> </w:t>
      </w:r>
    </w:p>
    <w:p w:rsidR="00E20241" w:rsidRDefault="002F2E08">
      <w:pPr>
        <w:numPr>
          <w:ilvl w:val="0"/>
          <w:numId w:val="1"/>
        </w:numPr>
        <w:ind w:hanging="361"/>
      </w:pPr>
      <w:r>
        <w:t>Matrícula at</w:t>
      </w:r>
      <w:r>
        <w:t xml:space="preserve">ualizada dos imóveis a inventariar, mais certidões negativas de ônus e de ações (todas originais expedidas pelo Registro de Imóveis em que matriculado o imóvel e válidas só por 30 dias).  </w:t>
      </w:r>
    </w:p>
    <w:p w:rsidR="00E20241" w:rsidRDefault="002F2E08">
      <w:pPr>
        <w:numPr>
          <w:ilvl w:val="0"/>
          <w:numId w:val="1"/>
        </w:numPr>
        <w:ind w:hanging="361"/>
      </w:pPr>
      <w:r>
        <w:t>Imóveis apenas de contrato: apresentar o contrato original, recibos</w:t>
      </w:r>
      <w:r>
        <w:t xml:space="preserve"> de pagamento, se tiver e certidão de inteiro teor do imóvel, matrícula atualizada.  </w:t>
      </w:r>
    </w:p>
    <w:p w:rsidR="00E20241" w:rsidRDefault="002F2E08">
      <w:pPr>
        <w:numPr>
          <w:ilvl w:val="0"/>
          <w:numId w:val="1"/>
        </w:numPr>
        <w:spacing w:after="129"/>
        <w:ind w:hanging="361"/>
      </w:pPr>
      <w:r>
        <w:rPr>
          <w:color w:val="000000"/>
        </w:rPr>
        <w:t>Veículos: apresentar o DUT</w:t>
      </w:r>
      <w:r>
        <w:t xml:space="preserve"> </w:t>
      </w:r>
    </w:p>
    <w:p w:rsidR="00E20241" w:rsidRDefault="002F2E08">
      <w:pPr>
        <w:numPr>
          <w:ilvl w:val="0"/>
          <w:numId w:val="1"/>
        </w:numPr>
        <w:spacing w:after="129"/>
        <w:ind w:hanging="361"/>
      </w:pPr>
      <w:r>
        <w:rPr>
          <w:color w:val="000000"/>
        </w:rPr>
        <w:t xml:space="preserve">Contas bancárias </w:t>
      </w:r>
      <w:r>
        <w:rPr>
          <w:color w:val="000000"/>
        </w:rPr>
        <w:t>–</w:t>
      </w:r>
      <w:r>
        <w:rPr>
          <w:color w:val="000000"/>
        </w:rPr>
        <w:t xml:space="preserve"> extratos carimbados pelo banco, que apareça todos os saldos na data do óbito.</w:t>
      </w:r>
      <w:r>
        <w:t xml:space="preserve"> </w:t>
      </w:r>
    </w:p>
    <w:p w:rsidR="00E20241" w:rsidRDefault="002F2E08">
      <w:pPr>
        <w:numPr>
          <w:ilvl w:val="0"/>
          <w:numId w:val="1"/>
        </w:numPr>
        <w:ind w:hanging="361"/>
      </w:pPr>
      <w:r>
        <w:t xml:space="preserve">Certidão Negativa municipal </w:t>
      </w:r>
      <w:proofErr w:type="gramStart"/>
      <w:r>
        <w:t>do(</w:t>
      </w:r>
      <w:proofErr w:type="gramEnd"/>
      <w:r>
        <w:t>s) imóvel(</w:t>
      </w:r>
      <w:proofErr w:type="spellStart"/>
      <w:r>
        <w:t>is</w:t>
      </w:r>
      <w:proofErr w:type="spellEnd"/>
      <w:r>
        <w:t>)</w:t>
      </w:r>
      <w:r>
        <w:t xml:space="preserve"> a inventariar e/ou ceder (setor de IPTU na Prefeitura, ver site da prefeitura respectiva).  </w:t>
      </w:r>
    </w:p>
    <w:p w:rsidR="00E20241" w:rsidRDefault="002F2E08">
      <w:pPr>
        <w:numPr>
          <w:ilvl w:val="0"/>
          <w:numId w:val="1"/>
        </w:numPr>
        <w:ind w:hanging="361"/>
      </w:pPr>
      <w:r>
        <w:lastRenderedPageBreak/>
        <w:t xml:space="preserve">Certidão da Prefeitura ou outro documento hábil, que conste o número de cadastro imobiliário e o valor venal do imóvel.  </w:t>
      </w:r>
    </w:p>
    <w:p w:rsidR="00E20241" w:rsidRDefault="002F2E08">
      <w:pPr>
        <w:numPr>
          <w:ilvl w:val="0"/>
          <w:numId w:val="1"/>
        </w:numPr>
        <w:ind w:hanging="361"/>
      </w:pPr>
      <w:r>
        <w:t xml:space="preserve">Certidão Negativa de Testamento </w:t>
      </w:r>
      <w:proofErr w:type="gramStart"/>
      <w:r>
        <w:t>do(</w:t>
      </w:r>
      <w:proofErr w:type="gramEnd"/>
      <w:r>
        <w:t>s) fa</w:t>
      </w:r>
      <w:r>
        <w:t>lecido(s). (</w:t>
      </w:r>
      <w:proofErr w:type="spellStart"/>
      <w:r>
        <w:t>esta</w:t>
      </w:r>
      <w:proofErr w:type="spellEnd"/>
      <w:r>
        <w:t xml:space="preserve"> certidão é solicitada no </w:t>
      </w:r>
      <w:r>
        <w:t>site “</w:t>
      </w:r>
      <w:hyperlink r:id="rId7">
        <w:r>
          <w:rPr>
            <w:i/>
            <w:color w:val="007BFF"/>
          </w:rPr>
          <w:t>www.censec.org.br</w:t>
        </w:r>
      </w:hyperlink>
      <w:hyperlink r:id="rId8">
        <w:r>
          <w:t>“</w:t>
        </w:r>
      </w:hyperlink>
      <w:r>
        <w:t xml:space="preserve">. Neste site, o advogado deverá fazer um cadastro para </w:t>
      </w:r>
      <w:r>
        <w:t xml:space="preserve">solicitar a certidão, no qual deverá anexar a imagem da certidão de óbito e do RG do falecido. Feito isto, irá gerar um boleto. Após o pagamento deste boleto, a certidão ficará disponível, trazer ao Tabelionato uma via da mesma impressa). </w:t>
      </w:r>
    </w:p>
    <w:p w:rsidR="00E20241" w:rsidRDefault="002F2E08">
      <w:pPr>
        <w:numPr>
          <w:ilvl w:val="0"/>
          <w:numId w:val="1"/>
        </w:numPr>
        <w:ind w:hanging="361"/>
      </w:pPr>
      <w:r>
        <w:t>Declaração e Rec</w:t>
      </w:r>
      <w:r>
        <w:t xml:space="preserve">olhimento do imposto ITCMD (causa mortis) e, se houver cessão gratuita, declaração e recolhimento do ITCMD incidente sobre a cessão. </w:t>
      </w:r>
    </w:p>
    <w:p w:rsidR="00E20241" w:rsidRDefault="002F2E08">
      <w:pPr>
        <w:numPr>
          <w:ilvl w:val="0"/>
          <w:numId w:val="1"/>
        </w:numPr>
        <w:ind w:hanging="361"/>
      </w:pPr>
      <w:r>
        <w:t xml:space="preserve">Recolhimento do ITBI e Laudêmio (imóveis de marinha), se houver cessão de direitos onerosa. </w:t>
      </w:r>
    </w:p>
    <w:p w:rsidR="00E20241" w:rsidRDefault="002F2E08">
      <w:pPr>
        <w:numPr>
          <w:ilvl w:val="0"/>
          <w:numId w:val="1"/>
        </w:numPr>
        <w:ind w:hanging="361"/>
      </w:pPr>
      <w:r>
        <w:t>Cópia da carteira da OAB do a</w:t>
      </w:r>
      <w:r>
        <w:t xml:space="preserve">dvogado (apresentar o original) </w:t>
      </w:r>
    </w:p>
    <w:p w:rsidR="00E20241" w:rsidRDefault="002F2E08">
      <w:pPr>
        <w:numPr>
          <w:ilvl w:val="0"/>
          <w:numId w:val="1"/>
        </w:numPr>
        <w:ind w:hanging="361"/>
      </w:pPr>
      <w:r>
        <w:t xml:space="preserve">Imóveis rurais, além dos documentos supra: Certificado de Cadastro de Imóvel Rural (CCIR) - expedido pelo Incra; Certidão de regularidade fiscal do imóvel atualizada, expedida pela Receita Federal; ou Guias de recolhimento </w:t>
      </w:r>
      <w:r>
        <w:t xml:space="preserve">do ITR pagas nos últimos 5 anos; CAR </w:t>
      </w:r>
      <w:r>
        <w:t>–</w:t>
      </w:r>
      <w:r>
        <w:t xml:space="preserve"> Cadastro Ambiental Rural; Certidão negativa ambiental atualizada, expedida pelo IBAMA; </w:t>
      </w:r>
    </w:p>
    <w:p w:rsidR="00E20241" w:rsidRDefault="002F2E08">
      <w:pPr>
        <w:numPr>
          <w:ilvl w:val="0"/>
          <w:numId w:val="1"/>
        </w:numPr>
        <w:spacing w:after="312"/>
        <w:ind w:hanging="361"/>
      </w:pPr>
      <w:r>
        <w:t xml:space="preserve">CAT </w:t>
      </w:r>
      <w:r>
        <w:t>–</w:t>
      </w:r>
      <w:r>
        <w:t xml:space="preserve"> expedida pela Delegacia de Patrimônio da União, quando o </w:t>
      </w:r>
      <w:r>
        <w:rPr>
          <w:b/>
          <w:u w:val="single" w:color="212529"/>
        </w:rPr>
        <w:t>imóvel for</w:t>
      </w:r>
      <w:r>
        <w:rPr>
          <w:b/>
        </w:rPr>
        <w:t xml:space="preserve"> </w:t>
      </w:r>
      <w:r>
        <w:rPr>
          <w:b/>
          <w:u w:val="single" w:color="212529"/>
        </w:rPr>
        <w:t>aforamento ou ocupação</w:t>
      </w:r>
      <w:r>
        <w:t xml:space="preserve"> (terreno de marinha), dentro do </w:t>
      </w:r>
      <w:r>
        <w:t xml:space="preserve">prazo de validade. </w:t>
      </w:r>
    </w:p>
    <w:p w:rsidR="00E20241" w:rsidRDefault="002F2E08">
      <w:pPr>
        <w:numPr>
          <w:ilvl w:val="0"/>
          <w:numId w:val="1"/>
        </w:numPr>
        <w:spacing w:after="110"/>
        <w:ind w:hanging="361"/>
      </w:pPr>
      <w:r>
        <w:t xml:space="preserve">Inventários de quotas sociais </w:t>
      </w:r>
      <w:r>
        <w:t>–</w:t>
      </w:r>
      <w:r>
        <w:t xml:space="preserve"> avaliação das cotas societárias na data do óbito, assinada pelo Contador responsável </w:t>
      </w:r>
      <w:proofErr w:type="gramStart"/>
      <w:r>
        <w:t>+</w:t>
      </w:r>
      <w:proofErr w:type="gramEnd"/>
      <w:r>
        <w:t xml:space="preserve"> balanço do estabelecimento, se o autor da herança e/ou seu meeiro era comerciante em nome individual, assinada pelo C</w:t>
      </w:r>
      <w:r>
        <w:t>ontador responsável ou apuração dos haveres, se o autor da herança e/ou seu meeiro era sócio de sociedade que não anônima, assinada pelo Contador responsável. (</w:t>
      </w:r>
      <w:proofErr w:type="gramStart"/>
      <w:r>
        <w:t>art.</w:t>
      </w:r>
      <w:proofErr w:type="gramEnd"/>
      <w:r>
        <w:t xml:space="preserve"> 993 § único e incisos I e II do CPC). </w:t>
      </w:r>
    </w:p>
    <w:p w:rsidR="00E20241" w:rsidRDefault="002F2E08">
      <w:pPr>
        <w:spacing w:after="38" w:line="259" w:lineRule="auto"/>
        <w:ind w:left="60" w:firstLine="0"/>
        <w:jc w:val="left"/>
      </w:pPr>
      <w:r>
        <w:rPr>
          <w:b/>
        </w:rPr>
        <w:t xml:space="preserve"> </w:t>
      </w:r>
    </w:p>
    <w:p w:rsidR="00E20241" w:rsidRDefault="002F2E08">
      <w:pPr>
        <w:spacing w:after="0" w:line="259" w:lineRule="auto"/>
        <w:ind w:left="60" w:firstLine="0"/>
        <w:jc w:val="left"/>
      </w:pPr>
      <w:r>
        <w:rPr>
          <w:rFonts w:ascii="Times New Roman" w:eastAsia="Times New Roman" w:hAnsi="Times New Roman" w:cs="Times New Roman"/>
          <w:b/>
          <w:sz w:val="32"/>
        </w:rPr>
        <w:t xml:space="preserve">O que é? </w:t>
      </w:r>
    </w:p>
    <w:p w:rsidR="00E20241" w:rsidRDefault="002F2E08">
      <w:pPr>
        <w:spacing w:after="284"/>
        <w:ind w:left="70"/>
      </w:pPr>
      <w:r>
        <w:t xml:space="preserve">Após a morte de alguém é necessário realizar o inventário. </w:t>
      </w:r>
    </w:p>
    <w:p w:rsidR="00E20241" w:rsidRDefault="002F2E08">
      <w:pPr>
        <w:spacing w:after="290"/>
        <w:ind w:left="70"/>
      </w:pPr>
      <w:r>
        <w:t>O inventário é o instrumento por meio do qual se faz a apuração do patrimônio do falecido e, se a pessoa deixou patrimônio, é necessário realizar a partilha dos bens entre os herdeiros e, se houve</w:t>
      </w:r>
      <w:r>
        <w:t xml:space="preserve">r, com o cônjuge da pessoa falecida (separar eventual meação e, herança, se for o caso). Na inexistência de patrimônio do falecido poderá ser encaminhado um inventário negativo (sem partilha). </w:t>
      </w:r>
    </w:p>
    <w:p w:rsidR="00E20241" w:rsidRDefault="002F2E08">
      <w:pPr>
        <w:spacing w:after="333"/>
        <w:ind w:left="70"/>
      </w:pPr>
      <w:r>
        <w:lastRenderedPageBreak/>
        <w:t>Dentre os requisitos que devem ser atendidos, simultaneamente,</w:t>
      </w:r>
      <w:r>
        <w:t xml:space="preserve"> para que possa ser feito o inventário e partilha por meio de Escritura Pública, em Tabelionato de Notas, sem necessidade de homologação judicial, destacamos os abaixo: </w:t>
      </w:r>
    </w:p>
    <w:p w:rsidR="00E20241" w:rsidRDefault="002F2E08">
      <w:pPr>
        <w:numPr>
          <w:ilvl w:val="0"/>
          <w:numId w:val="2"/>
        </w:numPr>
        <w:spacing w:after="23"/>
        <w:ind w:hanging="361"/>
      </w:pPr>
      <w:proofErr w:type="gramStart"/>
      <w:r>
        <w:t>não</w:t>
      </w:r>
      <w:proofErr w:type="gramEnd"/>
      <w:r>
        <w:t xml:space="preserve"> pode haver herdeiros menores e/ou incapazes. </w:t>
      </w:r>
    </w:p>
    <w:p w:rsidR="00E20241" w:rsidRDefault="002F2E08">
      <w:pPr>
        <w:numPr>
          <w:ilvl w:val="0"/>
          <w:numId w:val="2"/>
        </w:numPr>
        <w:ind w:hanging="361"/>
      </w:pPr>
      <w:proofErr w:type="gramStart"/>
      <w:r>
        <w:t>deve</w:t>
      </w:r>
      <w:proofErr w:type="gramEnd"/>
      <w:r>
        <w:t xml:space="preserve"> haver consenso entre os herdeir</w:t>
      </w:r>
      <w:r>
        <w:t xml:space="preserve">os e, se houver, com o meeiro(a) (não pode haver litígio). </w:t>
      </w:r>
    </w:p>
    <w:p w:rsidR="00E20241" w:rsidRDefault="002F2E08">
      <w:pPr>
        <w:numPr>
          <w:ilvl w:val="0"/>
          <w:numId w:val="2"/>
        </w:numPr>
        <w:spacing w:after="10"/>
        <w:ind w:hanging="361"/>
      </w:pPr>
      <w:proofErr w:type="gramStart"/>
      <w:r>
        <w:t>devem</w:t>
      </w:r>
      <w:proofErr w:type="gramEnd"/>
      <w:r>
        <w:t xml:space="preserve"> estar acompanhados de advogado. </w:t>
      </w:r>
    </w:p>
    <w:p w:rsidR="00E20241" w:rsidRDefault="002F2E08">
      <w:pPr>
        <w:spacing w:after="275" w:line="259" w:lineRule="auto"/>
        <w:ind w:left="60" w:firstLine="0"/>
        <w:jc w:val="left"/>
      </w:pPr>
      <w:r>
        <w:t xml:space="preserve"> </w:t>
      </w:r>
    </w:p>
    <w:p w:rsidR="00E20241" w:rsidRDefault="002F2E08">
      <w:pPr>
        <w:spacing w:after="290"/>
        <w:ind w:left="70"/>
      </w:pPr>
      <w:r>
        <w:t>Após lavrada e assinada a escritura de inventário e partilha na qual constam bens imóveis, a mesma deverá ser levada a registro no Registro de Imóveis no q</w:t>
      </w:r>
      <w:r>
        <w:t xml:space="preserve">ual o bem partilhado está registrado, para poder gerar efeitos em face de terceiros e dar publicidade à transmissão da propriedade ocorrida com o falecimento. </w:t>
      </w:r>
    </w:p>
    <w:p w:rsidR="00E20241" w:rsidRDefault="002F2E08">
      <w:pPr>
        <w:spacing w:after="290"/>
        <w:ind w:left="70"/>
      </w:pPr>
      <w:r>
        <w:t>Existindo testamento deixado pelo falecido, o inventário deverá ser judicial, com homologação ju</w:t>
      </w:r>
      <w:r>
        <w:t xml:space="preserve">dicial da partilha, não podendo ser feito por escritura pública. </w:t>
      </w:r>
    </w:p>
    <w:p w:rsidR="00E20241" w:rsidRDefault="002F2E08">
      <w:pPr>
        <w:spacing w:after="0"/>
        <w:ind w:left="70"/>
      </w:pPr>
      <w:r>
        <w:t xml:space="preserve">A abertura do inventário poderá ocorrer a qualquer tempo, porém o prazo previsto no artigo 611 do Código de Processo Civil: </w:t>
      </w:r>
      <w:r>
        <w:t>”</w:t>
      </w:r>
      <w:r>
        <w:rPr>
          <w:i/>
        </w:rPr>
        <w:t>O processo de inventário e de partilha deve ser instaurado dentro</w:t>
      </w:r>
      <w:r>
        <w:rPr>
          <w:i/>
        </w:rPr>
        <w:t xml:space="preserve"> de 2 (dois) meses, a contar da abertura da sucessão, […]”, </w:t>
      </w:r>
      <w:r>
        <w:t xml:space="preserve">deve ser levado em conta, pois excedido implicará em penalidade de ordem fiscal, multa sobre o valor do imposto, correção monetária e juros de mora.  </w:t>
      </w:r>
    </w:p>
    <w:p w:rsidR="00E20241" w:rsidRDefault="002F2E08">
      <w:pPr>
        <w:spacing w:after="0" w:line="259" w:lineRule="auto"/>
        <w:ind w:left="60" w:firstLine="0"/>
        <w:jc w:val="left"/>
      </w:pPr>
      <w:r>
        <w:t xml:space="preserve"> </w:t>
      </w:r>
    </w:p>
    <w:p w:rsidR="00E20241" w:rsidRDefault="002F2E08">
      <w:pPr>
        <w:pStyle w:val="Ttulo1"/>
        <w:ind w:left="55"/>
      </w:pPr>
      <w:r>
        <w:t xml:space="preserve">Observações </w:t>
      </w:r>
    </w:p>
    <w:p w:rsidR="00E20241" w:rsidRDefault="002F2E08">
      <w:pPr>
        <w:spacing w:after="315"/>
        <w:ind w:left="70"/>
      </w:pPr>
      <w:r>
        <w:t>É admissível aos herdeiros se fazerem representar por mandatário, que não seja o advogado assistente, desde que por instrumento público, com poderes especiais e expressos para: aceitar os termos da partilha, atribuir valores aos bens arrolados, se houver c</w:t>
      </w:r>
      <w:r>
        <w:t xml:space="preserve">essão, poderes para ceder (discriminando o bem a ser cedido); declarar, de forma expressa, sob as penas da lei, que: </w:t>
      </w:r>
    </w:p>
    <w:p w:rsidR="00E20241" w:rsidRDefault="002F2E08">
      <w:pPr>
        <w:numPr>
          <w:ilvl w:val="0"/>
          <w:numId w:val="3"/>
        </w:numPr>
        <w:ind w:hanging="360"/>
      </w:pPr>
      <w:proofErr w:type="gramStart"/>
      <w:r>
        <w:t>não</w:t>
      </w:r>
      <w:proofErr w:type="gramEnd"/>
      <w:r>
        <w:t xml:space="preserve"> têm conhecimento da existência de outros herdeiros, sejam maiores ou menores além dele(s), outorgante(s) ou, se houver, mencioná-los b</w:t>
      </w:r>
      <w:r>
        <w:t xml:space="preserve">em como de cessionários hereditários; </w:t>
      </w:r>
    </w:p>
    <w:p w:rsidR="00E20241" w:rsidRDefault="002F2E08">
      <w:pPr>
        <w:numPr>
          <w:ilvl w:val="0"/>
          <w:numId w:val="3"/>
        </w:numPr>
        <w:ind w:hanging="360"/>
      </w:pPr>
      <w:proofErr w:type="gramStart"/>
      <w:r>
        <w:t>desconhece(</w:t>
      </w:r>
      <w:proofErr w:type="gramEnd"/>
      <w:r>
        <w:t xml:space="preserve">m) a existência de outros bens, além daquele(s) arrolado(s); </w:t>
      </w:r>
    </w:p>
    <w:p w:rsidR="00E20241" w:rsidRDefault="002F2E08">
      <w:pPr>
        <w:numPr>
          <w:ilvl w:val="0"/>
          <w:numId w:val="3"/>
        </w:numPr>
        <w:ind w:hanging="360"/>
      </w:pPr>
      <w:proofErr w:type="gramStart"/>
      <w:r>
        <w:t>inexiste</w:t>
      </w:r>
      <w:proofErr w:type="gramEnd"/>
      <w:r>
        <w:t xml:space="preserve"> inventário em andamento; </w:t>
      </w:r>
    </w:p>
    <w:p w:rsidR="00E20241" w:rsidRDefault="002F2E08">
      <w:pPr>
        <w:numPr>
          <w:ilvl w:val="0"/>
          <w:numId w:val="3"/>
        </w:numPr>
        <w:ind w:hanging="360"/>
      </w:pPr>
      <w:proofErr w:type="gramStart"/>
      <w:r>
        <w:t>desconhece(</w:t>
      </w:r>
      <w:proofErr w:type="gramEnd"/>
      <w:r>
        <w:t xml:space="preserve">m) a existência de testamento deixado pelo de cujus, </w:t>
      </w:r>
    </w:p>
    <w:p w:rsidR="00E20241" w:rsidRDefault="002F2E08">
      <w:pPr>
        <w:numPr>
          <w:ilvl w:val="0"/>
          <w:numId w:val="3"/>
        </w:numPr>
        <w:spacing w:after="0"/>
        <w:ind w:hanging="360"/>
      </w:pPr>
      <w:proofErr w:type="gramStart"/>
      <w:r>
        <w:t>se</w:t>
      </w:r>
      <w:proofErr w:type="gramEnd"/>
      <w:r>
        <w:t xml:space="preserve"> solteiro o outorgante, poderes para decla</w:t>
      </w:r>
      <w:r>
        <w:t xml:space="preserve">rar se ele convive ou não em união estável. </w:t>
      </w:r>
    </w:p>
    <w:p w:rsidR="00E20241" w:rsidRDefault="002F2E08">
      <w:pPr>
        <w:spacing w:after="290"/>
        <w:ind w:left="70"/>
      </w:pPr>
      <w:r>
        <w:lastRenderedPageBreak/>
        <w:t xml:space="preserve">A Tabeliã poderá exigir, ad cautelam, outros documentos que julgar necessários para a segurança jurídica do ato a ser formalizado, além dos acima relacionados. </w:t>
      </w:r>
    </w:p>
    <w:p w:rsidR="00E20241" w:rsidRDefault="002F2E08">
      <w:pPr>
        <w:spacing w:after="0"/>
        <w:ind w:left="70"/>
      </w:pPr>
      <w:r>
        <w:t>Impostos causa mortis e de Cessões gratuitas: Os v</w:t>
      </w:r>
      <w:r>
        <w:t xml:space="preserve">alores dos bens para fins de apuração do ITCMD. </w:t>
      </w:r>
    </w:p>
    <w:p w:rsidR="00E20241" w:rsidRDefault="002F2E08">
      <w:pPr>
        <w:spacing w:after="0"/>
        <w:ind w:left="70"/>
      </w:pPr>
      <w:r>
        <w:t xml:space="preserve">Cessões onerosas dentro do inventário recolhem ITBI que, em </w:t>
      </w:r>
      <w:r w:rsidR="00F13126">
        <w:t>Benevides</w:t>
      </w:r>
      <w:r>
        <w:t xml:space="preserve">, tem a avaliação feita pela Prefeitura. </w:t>
      </w:r>
      <w:proofErr w:type="gramStart"/>
      <w:r>
        <w:t>o</w:t>
      </w:r>
      <w:proofErr w:type="gramEnd"/>
      <w:r>
        <w:t xml:space="preserve"> percentual vigente é de 2%. </w:t>
      </w:r>
    </w:p>
    <w:p w:rsidR="00E20241" w:rsidRDefault="002F2E08">
      <w:pPr>
        <w:ind w:left="70"/>
      </w:pPr>
      <w:r>
        <w:t>A validade das certidões que possuem termo certo de vencimento s</w:t>
      </w:r>
      <w:r>
        <w:t xml:space="preserve">erá aferida no momento da entrega do último documento no Tabelionato. </w:t>
      </w:r>
    </w:p>
    <w:p w:rsidR="00E20241" w:rsidRDefault="002F2E08">
      <w:pPr>
        <w:pStyle w:val="Ttulo1"/>
        <w:ind w:left="55"/>
      </w:pPr>
      <w:r>
        <w:t xml:space="preserve">Custos </w:t>
      </w:r>
    </w:p>
    <w:p w:rsidR="00E20241" w:rsidRDefault="002F2E08">
      <w:pPr>
        <w:spacing w:after="329"/>
        <w:ind w:left="70"/>
      </w:pPr>
      <w:r>
        <w:t xml:space="preserve">Para podermos ter uma estimativa dos custos do inventário extrajudicial necessitamos saber: </w:t>
      </w:r>
    </w:p>
    <w:p w:rsidR="00E20241" w:rsidRDefault="002F2E08">
      <w:pPr>
        <w:numPr>
          <w:ilvl w:val="0"/>
          <w:numId w:val="4"/>
        </w:numPr>
        <w:spacing w:after="33"/>
        <w:ind w:hanging="361"/>
      </w:pPr>
      <w:proofErr w:type="gramStart"/>
      <w:r>
        <w:t>a</w:t>
      </w:r>
      <w:proofErr w:type="gramEnd"/>
      <w:r>
        <w:t xml:space="preserve"> data completa e a forma pela qual (compra e venda, doação, sucessão </w:t>
      </w:r>
      <w:proofErr w:type="spellStart"/>
      <w:r>
        <w:t>etc</w:t>
      </w:r>
      <w:proofErr w:type="spellEnd"/>
      <w:r>
        <w:t xml:space="preserve">) o(a) falecido adquiriu os imóveis e os valores reais de mercado (atuais) de cada um dos bens a serem inventariados, de forma separada, e em quais cidades estão localizados; </w:t>
      </w:r>
    </w:p>
    <w:p w:rsidR="00E20241" w:rsidRDefault="002F2E08">
      <w:pPr>
        <w:numPr>
          <w:ilvl w:val="0"/>
          <w:numId w:val="4"/>
        </w:numPr>
        <w:spacing w:after="22"/>
        <w:ind w:hanging="361"/>
      </w:pPr>
      <w:proofErr w:type="gramStart"/>
      <w:r>
        <w:t>qual</w:t>
      </w:r>
      <w:proofErr w:type="gramEnd"/>
      <w:r>
        <w:t xml:space="preserve"> o </w:t>
      </w:r>
      <w:r>
        <w:t xml:space="preserve">regime de bens que o(a) falecido(a) era casado(a); </w:t>
      </w:r>
    </w:p>
    <w:p w:rsidR="00E20241" w:rsidRDefault="002F2E08">
      <w:pPr>
        <w:numPr>
          <w:ilvl w:val="0"/>
          <w:numId w:val="4"/>
        </w:numPr>
        <w:spacing w:after="23"/>
        <w:ind w:hanging="361"/>
      </w:pPr>
      <w:proofErr w:type="gramStart"/>
      <w:r>
        <w:t>qual</w:t>
      </w:r>
      <w:proofErr w:type="gramEnd"/>
      <w:r>
        <w:t xml:space="preserve"> a data do casamento; </w:t>
      </w:r>
    </w:p>
    <w:p w:rsidR="00E20241" w:rsidRDefault="002F2E08">
      <w:pPr>
        <w:numPr>
          <w:ilvl w:val="0"/>
          <w:numId w:val="4"/>
        </w:numPr>
        <w:spacing w:after="29"/>
        <w:ind w:hanging="361"/>
      </w:pPr>
      <w:proofErr w:type="gramStart"/>
      <w:r>
        <w:t>quantos</w:t>
      </w:r>
      <w:proofErr w:type="gramEnd"/>
      <w:r>
        <w:t xml:space="preserve"> herdeiros possui e qual o grau de parentesco do(a) falecido(a) com cada um; </w:t>
      </w:r>
    </w:p>
    <w:p w:rsidR="00E20241" w:rsidRDefault="002F2E08">
      <w:pPr>
        <w:numPr>
          <w:ilvl w:val="0"/>
          <w:numId w:val="4"/>
        </w:numPr>
        <w:spacing w:after="28"/>
        <w:ind w:hanging="361"/>
      </w:pPr>
      <w:proofErr w:type="gramStart"/>
      <w:r>
        <w:t>se</w:t>
      </w:r>
      <w:proofErr w:type="gramEnd"/>
      <w:r>
        <w:t xml:space="preserve"> será apenas escritura de partilha com recebimento de herança ou se haverá cessão para herdeiro ou para terceiro e/ou se haverá cessão de meação, no mesmo ato (informar também o que será objeto das cessões e se elas serão gratuitas ou onerosas); </w:t>
      </w:r>
    </w:p>
    <w:p w:rsidR="00E20241" w:rsidRDefault="002F2E08">
      <w:pPr>
        <w:numPr>
          <w:ilvl w:val="0"/>
          <w:numId w:val="4"/>
        </w:numPr>
        <w:spacing w:after="23"/>
        <w:ind w:hanging="361"/>
      </w:pPr>
      <w:proofErr w:type="gramStart"/>
      <w:r>
        <w:t>a</w:t>
      </w:r>
      <w:proofErr w:type="gramEnd"/>
      <w:r>
        <w:t xml:space="preserve"> data </w:t>
      </w:r>
      <w:r>
        <w:t xml:space="preserve">do(s) óbito(s); </w:t>
      </w:r>
    </w:p>
    <w:p w:rsidR="00E20241" w:rsidRDefault="002F2E08">
      <w:pPr>
        <w:numPr>
          <w:ilvl w:val="0"/>
          <w:numId w:val="4"/>
        </w:numPr>
        <w:spacing w:after="23"/>
        <w:ind w:hanging="361"/>
      </w:pPr>
      <w:proofErr w:type="gramStart"/>
      <w:r>
        <w:t>informe</w:t>
      </w:r>
      <w:proofErr w:type="gramEnd"/>
      <w:r>
        <w:t xml:space="preserve"> o valor de mercado do (s) imóvel(</w:t>
      </w:r>
      <w:proofErr w:type="spellStart"/>
      <w:r>
        <w:t>is</w:t>
      </w:r>
      <w:proofErr w:type="spellEnd"/>
      <w:r>
        <w:t xml:space="preserve">), separadamente; </w:t>
      </w:r>
    </w:p>
    <w:p w:rsidR="00E20241" w:rsidRDefault="002F2E08">
      <w:pPr>
        <w:numPr>
          <w:ilvl w:val="0"/>
          <w:numId w:val="4"/>
        </w:numPr>
        <w:spacing w:after="290"/>
        <w:ind w:hanging="361"/>
      </w:pPr>
      <w:proofErr w:type="gramStart"/>
      <w:r>
        <w:t>envie</w:t>
      </w:r>
      <w:proofErr w:type="gramEnd"/>
      <w:r>
        <w:t xml:space="preserve"> a imagem de todos os carnês de IPTU do presente ano, que apareça valor venal total, do(s) imóvel(</w:t>
      </w:r>
      <w:proofErr w:type="spellStart"/>
      <w:r>
        <w:t>is</w:t>
      </w:r>
      <w:proofErr w:type="spellEnd"/>
      <w:r>
        <w:t xml:space="preserve">). </w:t>
      </w:r>
    </w:p>
    <w:p w:rsidR="00E20241" w:rsidRDefault="002F2E08">
      <w:pPr>
        <w:spacing w:after="10"/>
        <w:ind w:left="70"/>
      </w:pPr>
      <w:r>
        <w:t>Com as informações respondidas poderemos lhe enviar uma estimativa d</w:t>
      </w:r>
      <w:r>
        <w:t xml:space="preserve">os custos. </w:t>
      </w:r>
    </w:p>
    <w:p w:rsidR="00E20241" w:rsidRDefault="002F2E08">
      <w:pPr>
        <w:spacing w:after="0" w:line="259" w:lineRule="auto"/>
        <w:ind w:left="60" w:firstLine="0"/>
        <w:jc w:val="left"/>
      </w:pPr>
      <w:r>
        <w:t xml:space="preserve"> </w:t>
      </w:r>
    </w:p>
    <w:p w:rsidR="00E20241" w:rsidRDefault="002F2E08">
      <w:pPr>
        <w:pStyle w:val="Ttulo1"/>
        <w:ind w:left="55"/>
      </w:pPr>
      <w:r>
        <w:t xml:space="preserve">Consulta Normativa </w:t>
      </w:r>
    </w:p>
    <w:p w:rsidR="00E20241" w:rsidRDefault="002F2E08">
      <w:pPr>
        <w:spacing w:after="0"/>
        <w:ind w:left="70"/>
      </w:pPr>
      <w:r>
        <w:t xml:space="preserve">Poderão ser realizados por escritura pública, obedecidas as diretrizes estabelecidas pela Lei Federal n. 11.441, de 4 de janeiro de 2007, regulamentada pela Resolução n. 35, de 24 de abril de 2007, do Conselho Nacional de </w:t>
      </w:r>
      <w:r>
        <w:t xml:space="preserve">Justiça. </w:t>
      </w:r>
    </w:p>
    <w:p w:rsidR="00E20241" w:rsidRDefault="00E20241" w:rsidP="00F13126">
      <w:pPr>
        <w:spacing w:after="202" w:line="259" w:lineRule="auto"/>
        <w:ind w:left="60" w:firstLine="0"/>
        <w:jc w:val="left"/>
      </w:pPr>
      <w:bookmarkStart w:id="0" w:name="_GoBack"/>
      <w:bookmarkEnd w:id="0"/>
    </w:p>
    <w:sectPr w:rsidR="00E20241">
      <w:headerReference w:type="even" r:id="rId9"/>
      <w:headerReference w:type="default" r:id="rId10"/>
      <w:headerReference w:type="first" r:id="rId11"/>
      <w:pgSz w:w="11908" w:h="16836"/>
      <w:pgMar w:top="2614" w:right="1698" w:bottom="1413" w:left="1641" w:header="7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E08" w:rsidRDefault="002F2E08">
      <w:pPr>
        <w:spacing w:after="0" w:line="240" w:lineRule="auto"/>
      </w:pPr>
      <w:r>
        <w:separator/>
      </w:r>
    </w:p>
  </w:endnote>
  <w:endnote w:type="continuationSeparator" w:id="0">
    <w:p w:rsidR="002F2E08" w:rsidRDefault="002F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E08" w:rsidRDefault="002F2E08">
      <w:pPr>
        <w:spacing w:after="0" w:line="240" w:lineRule="auto"/>
      </w:pPr>
      <w:r>
        <w:separator/>
      </w:r>
    </w:p>
  </w:footnote>
  <w:footnote w:type="continuationSeparator" w:id="0">
    <w:p w:rsidR="002F2E08" w:rsidRDefault="002F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41" w:rsidRDefault="002F2E08">
    <w:pPr>
      <w:spacing w:after="0" w:line="259" w:lineRule="auto"/>
      <w:ind w:left="61" w:right="-42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478523</wp:posOffset>
          </wp:positionV>
          <wp:extent cx="1151395" cy="115139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395" cy="115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  <w:color w:val="000000"/>
        <w:sz w:val="36"/>
      </w:rPr>
      <w:t xml:space="preserve">DOCUMENTOS NECESSÁRIOS - ESCRITURA DE </w:t>
    </w:r>
  </w:p>
  <w:p w:rsidR="00E20241" w:rsidRDefault="002F2E08">
    <w:pPr>
      <w:spacing w:after="161" w:line="259" w:lineRule="auto"/>
      <w:ind w:left="61" w:firstLine="0"/>
      <w:jc w:val="left"/>
    </w:pPr>
    <w:r>
      <w:rPr>
        <w:rFonts w:ascii="Calibri" w:eastAsia="Calibri" w:hAnsi="Calibri" w:cs="Calibri"/>
        <w:b/>
        <w:i/>
        <w:color w:val="000000"/>
        <w:sz w:val="36"/>
      </w:rPr>
      <w:t>INVENTÁRIO</w:t>
    </w:r>
  </w:p>
  <w:p w:rsidR="00E20241" w:rsidRDefault="002F2E08">
    <w:pPr>
      <w:spacing w:after="0" w:line="259" w:lineRule="auto"/>
      <w:ind w:left="61" w:right="-863" w:firstLine="0"/>
      <w:jc w:val="right"/>
    </w:pPr>
    <w:r>
      <w:rPr>
        <w:rFonts w:ascii="Calibri" w:eastAsia="Calibri" w:hAnsi="Calibri" w:cs="Calibri"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41" w:rsidRDefault="00F13126" w:rsidP="00F13126">
    <w:pPr>
      <w:spacing w:after="0" w:line="259" w:lineRule="auto"/>
      <w:ind w:left="61" w:right="-421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C73D93" wp14:editId="54922417">
          <wp:simplePos x="0" y="0"/>
          <wp:positionH relativeFrom="page">
            <wp:posOffset>885826</wp:posOffset>
          </wp:positionH>
          <wp:positionV relativeFrom="page">
            <wp:posOffset>514351</wp:posOffset>
          </wp:positionV>
          <wp:extent cx="1721504" cy="60960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18" cy="62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2E08">
      <w:rPr>
        <w:rFonts w:ascii="Calibri" w:eastAsia="Calibri" w:hAnsi="Calibri" w:cs="Calibri"/>
        <w:b/>
        <w:i/>
        <w:color w:val="000000"/>
        <w:sz w:val="36"/>
      </w:rPr>
      <w:t>DOC</w:t>
    </w:r>
    <w:r>
      <w:rPr>
        <w:rFonts w:ascii="Calibri" w:eastAsia="Calibri" w:hAnsi="Calibri" w:cs="Calibri"/>
        <w:b/>
        <w:i/>
        <w:color w:val="000000"/>
        <w:sz w:val="36"/>
      </w:rPr>
      <w:t xml:space="preserve">UMENTOS NECESSÁRIOS – ESCRITURA </w:t>
    </w:r>
    <w:r w:rsidR="002F2E08">
      <w:rPr>
        <w:rFonts w:ascii="Calibri" w:eastAsia="Calibri" w:hAnsi="Calibri" w:cs="Calibri"/>
        <w:b/>
        <w:i/>
        <w:color w:val="000000"/>
        <w:sz w:val="36"/>
      </w:rPr>
      <w:t>DE</w:t>
    </w:r>
    <w:r>
      <w:rPr>
        <w:rFonts w:ascii="Calibri" w:eastAsia="Calibri" w:hAnsi="Calibri" w:cs="Calibri"/>
        <w:b/>
        <w:i/>
        <w:color w:val="000000"/>
        <w:sz w:val="36"/>
      </w:rPr>
      <w:t xml:space="preserve"> </w:t>
    </w:r>
    <w:r w:rsidR="002F2E08">
      <w:rPr>
        <w:rFonts w:ascii="Calibri" w:eastAsia="Calibri" w:hAnsi="Calibri" w:cs="Calibri"/>
        <w:b/>
        <w:i/>
        <w:color w:val="000000"/>
        <w:sz w:val="36"/>
      </w:rPr>
      <w:t>INVENTÁRIO</w:t>
    </w:r>
  </w:p>
  <w:p w:rsidR="00E20241" w:rsidRDefault="002F2E08">
    <w:pPr>
      <w:spacing w:after="0" w:line="259" w:lineRule="auto"/>
      <w:ind w:left="61" w:right="-863" w:firstLine="0"/>
      <w:jc w:val="right"/>
    </w:pPr>
    <w:r>
      <w:rPr>
        <w:rFonts w:ascii="Calibri" w:eastAsia="Calibri" w:hAnsi="Calibri" w:cs="Calibri"/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41" w:rsidRDefault="002F2E08">
    <w:pPr>
      <w:spacing w:after="0" w:line="259" w:lineRule="auto"/>
      <w:ind w:left="61" w:right="-42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478523</wp:posOffset>
          </wp:positionV>
          <wp:extent cx="1151395" cy="115139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395" cy="115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i/>
        <w:color w:val="000000"/>
        <w:sz w:val="36"/>
      </w:rPr>
      <w:t xml:space="preserve">DOCUMENTOS NECESSÁRIOS - </w:t>
    </w:r>
    <w:r>
      <w:rPr>
        <w:rFonts w:ascii="Calibri" w:eastAsia="Calibri" w:hAnsi="Calibri" w:cs="Calibri"/>
        <w:b/>
        <w:i/>
        <w:color w:val="000000"/>
        <w:sz w:val="36"/>
      </w:rPr>
      <w:t xml:space="preserve">ESCRITURA DE </w:t>
    </w:r>
  </w:p>
  <w:p w:rsidR="00E20241" w:rsidRDefault="002F2E08">
    <w:pPr>
      <w:spacing w:after="161" w:line="259" w:lineRule="auto"/>
      <w:ind w:left="61" w:firstLine="0"/>
      <w:jc w:val="left"/>
    </w:pPr>
    <w:r>
      <w:rPr>
        <w:rFonts w:ascii="Calibri" w:eastAsia="Calibri" w:hAnsi="Calibri" w:cs="Calibri"/>
        <w:b/>
        <w:i/>
        <w:color w:val="000000"/>
        <w:sz w:val="36"/>
      </w:rPr>
      <w:t>INVENTÁRIO</w:t>
    </w:r>
  </w:p>
  <w:p w:rsidR="00E20241" w:rsidRDefault="002F2E08">
    <w:pPr>
      <w:spacing w:after="0" w:line="259" w:lineRule="auto"/>
      <w:ind w:left="61" w:right="-863" w:firstLine="0"/>
      <w:jc w:val="right"/>
    </w:pPr>
    <w:r>
      <w:rPr>
        <w:rFonts w:ascii="Calibri" w:eastAsia="Calibri" w:hAnsi="Calibri" w:cs="Calibri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C93"/>
    <w:multiLevelType w:val="hybridMultilevel"/>
    <w:tmpl w:val="681C5A8C"/>
    <w:lvl w:ilvl="0" w:tplc="289AE9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D639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A0C9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16E7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4A44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8DD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1869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A6D62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76C9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9D15FB"/>
    <w:multiLevelType w:val="hybridMultilevel"/>
    <w:tmpl w:val="D7962F54"/>
    <w:lvl w:ilvl="0" w:tplc="1C428E66">
      <w:start w:val="1"/>
      <w:numFmt w:val="decimal"/>
      <w:lvlText w:val="%1."/>
      <w:lvlJc w:val="left"/>
      <w:pPr>
        <w:ind w:left="76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E7BC0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095FE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54C11E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48393C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0A6D4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6B23C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E6626C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4271DC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025C63"/>
    <w:multiLevelType w:val="hybridMultilevel"/>
    <w:tmpl w:val="38906B6C"/>
    <w:lvl w:ilvl="0" w:tplc="A440B9E0">
      <w:start w:val="1"/>
      <w:numFmt w:val="lowerLetter"/>
      <w:lvlText w:val="%1)"/>
      <w:lvlJc w:val="left"/>
      <w:pPr>
        <w:ind w:left="76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AF414">
      <w:start w:val="1"/>
      <w:numFmt w:val="lowerLetter"/>
      <w:lvlText w:val="%2"/>
      <w:lvlJc w:val="left"/>
      <w:pPr>
        <w:ind w:left="14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4081E">
      <w:start w:val="1"/>
      <w:numFmt w:val="lowerRoman"/>
      <w:lvlText w:val="%3"/>
      <w:lvlJc w:val="left"/>
      <w:pPr>
        <w:ind w:left="21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300F70">
      <w:start w:val="1"/>
      <w:numFmt w:val="decimal"/>
      <w:lvlText w:val="%4"/>
      <w:lvlJc w:val="left"/>
      <w:pPr>
        <w:ind w:left="29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433D4">
      <w:start w:val="1"/>
      <w:numFmt w:val="lowerLetter"/>
      <w:lvlText w:val="%5"/>
      <w:lvlJc w:val="left"/>
      <w:pPr>
        <w:ind w:left="36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307382">
      <w:start w:val="1"/>
      <w:numFmt w:val="lowerRoman"/>
      <w:lvlText w:val="%6"/>
      <w:lvlJc w:val="left"/>
      <w:pPr>
        <w:ind w:left="43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A361E">
      <w:start w:val="1"/>
      <w:numFmt w:val="decimal"/>
      <w:lvlText w:val="%7"/>
      <w:lvlJc w:val="left"/>
      <w:pPr>
        <w:ind w:left="50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A6416C">
      <w:start w:val="1"/>
      <w:numFmt w:val="lowerLetter"/>
      <w:lvlText w:val="%8"/>
      <w:lvlJc w:val="left"/>
      <w:pPr>
        <w:ind w:left="57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6716">
      <w:start w:val="1"/>
      <w:numFmt w:val="lowerRoman"/>
      <w:lvlText w:val="%9"/>
      <w:lvlJc w:val="left"/>
      <w:pPr>
        <w:ind w:left="65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FC59EA"/>
    <w:multiLevelType w:val="hybridMultilevel"/>
    <w:tmpl w:val="6ADA8934"/>
    <w:lvl w:ilvl="0" w:tplc="2B04A32C">
      <w:start w:val="1"/>
      <w:numFmt w:val="lowerLetter"/>
      <w:lvlText w:val="%1)"/>
      <w:lvlJc w:val="left"/>
      <w:pPr>
        <w:ind w:left="766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9470EE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4C7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20FF2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E4B74E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E097C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D6316C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215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4844E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21252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41"/>
    <w:rsid w:val="002F2E08"/>
    <w:rsid w:val="00E20241"/>
    <w:rsid w:val="00F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9F4C4"/>
  <w15:docId w15:val="{30E5ED23-5256-4066-9C6D-C2CFFCA1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1" w:line="249" w:lineRule="auto"/>
      <w:ind w:left="430" w:hanging="10"/>
      <w:jc w:val="both"/>
    </w:pPr>
    <w:rPr>
      <w:rFonts w:ascii="Segoe UI" w:eastAsia="Segoe UI" w:hAnsi="Segoe UI" w:cs="Segoe UI"/>
      <w:color w:val="212529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" w:hanging="10"/>
      <w:outlineLvl w:val="0"/>
    </w:pPr>
    <w:rPr>
      <w:rFonts w:ascii="Segoe UI" w:eastAsia="Segoe UI" w:hAnsi="Segoe UI" w:cs="Segoe UI"/>
      <w:b/>
      <w:color w:val="2125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Segoe UI" w:eastAsia="Segoe UI" w:hAnsi="Segoe UI" w:cs="Segoe UI"/>
      <w:b/>
      <w:color w:val="212529"/>
      <w:sz w:val="22"/>
    </w:rPr>
  </w:style>
  <w:style w:type="paragraph" w:styleId="Rodap">
    <w:name w:val="footer"/>
    <w:basedOn w:val="Normal"/>
    <w:link w:val="RodapChar"/>
    <w:uiPriority w:val="99"/>
    <w:unhideWhenUsed/>
    <w:rsid w:val="00F13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126"/>
    <w:rPr>
      <w:rFonts w:ascii="Segoe UI" w:eastAsia="Segoe UI" w:hAnsi="Segoe UI" w:cs="Segoe UI"/>
      <w:color w:val="2125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ec.org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sec.org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Cartorio</dc:creator>
  <cp:keywords/>
  <cp:lastModifiedBy>Nil Fonseca</cp:lastModifiedBy>
  <cp:revision>2</cp:revision>
  <cp:lastPrinted>2024-05-09T02:19:00Z</cp:lastPrinted>
  <dcterms:created xsi:type="dcterms:W3CDTF">2024-05-09T02:20:00Z</dcterms:created>
  <dcterms:modified xsi:type="dcterms:W3CDTF">2024-05-09T02:20:00Z</dcterms:modified>
</cp:coreProperties>
</file>